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EF5" w:rsidRDefault="00916377" w:rsidP="00C84EF5">
      <w:pPr>
        <w:jc w:val="both"/>
        <w:rPr>
          <w:b/>
        </w:rPr>
      </w:pPr>
      <w:r>
        <w:rPr>
          <w:b/>
        </w:rPr>
        <w:t>Urgency Committee</w:t>
      </w:r>
      <w:r w:rsidR="002612C4">
        <w:rPr>
          <w:b/>
        </w:rPr>
        <w:t xml:space="preserve"> of the Full Council</w:t>
      </w:r>
    </w:p>
    <w:p w:rsidR="00C84EF5" w:rsidRDefault="00C84EF5" w:rsidP="00C84EF5">
      <w:pPr>
        <w:jc w:val="both"/>
      </w:pPr>
      <w:r>
        <w:t xml:space="preserve">Meeting to be held on </w:t>
      </w:r>
      <w:r w:rsidR="00916377">
        <w:t>17 January 2012</w:t>
      </w:r>
    </w:p>
    <w:p w:rsidR="00C84EF5" w:rsidRDefault="00C84EF5" w:rsidP="00C84EF5">
      <w:pPr>
        <w:jc w:val="both"/>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0"/>
      </w:tblGrid>
      <w:tr w:rsidR="00C84EF5" w:rsidTr="00C84EF5">
        <w:tc>
          <w:tcPr>
            <w:tcW w:w="3260" w:type="dxa"/>
            <w:tcBorders>
              <w:top w:val="single" w:sz="4" w:space="0" w:color="auto"/>
              <w:left w:val="single" w:sz="4" w:space="0" w:color="auto"/>
              <w:bottom w:val="single" w:sz="4" w:space="0" w:color="auto"/>
              <w:right w:val="single" w:sz="4" w:space="0" w:color="auto"/>
            </w:tcBorders>
          </w:tcPr>
          <w:p w:rsidR="00C84EF5" w:rsidRDefault="00C84EF5">
            <w:pPr>
              <w:pStyle w:val="BodyText"/>
              <w:jc w:val="both"/>
            </w:pPr>
            <w:r>
              <w:t>Electoral Division affected:</w:t>
            </w:r>
          </w:p>
          <w:p w:rsidR="00C84EF5" w:rsidRDefault="00C84EF5" w:rsidP="00916377">
            <w:pPr>
              <w:jc w:val="both"/>
              <w:rPr>
                <w:u w:val="single"/>
              </w:rPr>
            </w:pPr>
            <w:r>
              <w:t>All</w:t>
            </w:r>
          </w:p>
        </w:tc>
      </w:tr>
    </w:tbl>
    <w:p w:rsidR="00C84EF5" w:rsidRDefault="00C84EF5" w:rsidP="00C84EF5">
      <w:pPr>
        <w:jc w:val="both"/>
        <w:rPr>
          <w:u w:val="single"/>
        </w:rPr>
      </w:pPr>
    </w:p>
    <w:p w:rsidR="00C84EF5" w:rsidRDefault="00C84EF5" w:rsidP="00C84EF5">
      <w:pPr>
        <w:jc w:val="both"/>
        <w:rPr>
          <w:b/>
        </w:rPr>
      </w:pPr>
      <w:r>
        <w:rPr>
          <w:b/>
        </w:rPr>
        <w:t xml:space="preserve">Management of unreasonable complaints </w:t>
      </w:r>
    </w:p>
    <w:p w:rsidR="00C84EF5" w:rsidRPr="00916377" w:rsidRDefault="00C84EF5" w:rsidP="00C84EF5">
      <w:pPr>
        <w:jc w:val="both"/>
      </w:pPr>
      <w:r w:rsidRPr="00916377">
        <w:t>(Appendi</w:t>
      </w:r>
      <w:r w:rsidR="00916377">
        <w:t>c</w:t>
      </w:r>
      <w:r w:rsidRPr="00916377">
        <w:t>es '</w:t>
      </w:r>
      <w:r w:rsidR="00916377">
        <w:t>A</w:t>
      </w:r>
      <w:r w:rsidRPr="00916377">
        <w:t>' and '</w:t>
      </w:r>
      <w:r w:rsidR="00916377">
        <w:t>B</w:t>
      </w:r>
      <w:r w:rsidRPr="00916377">
        <w:t xml:space="preserve">' refer) </w:t>
      </w:r>
    </w:p>
    <w:p w:rsidR="00C84EF5" w:rsidRDefault="00C84EF5" w:rsidP="00C84EF5">
      <w:pPr>
        <w:ind w:left="709" w:hanging="709"/>
        <w:jc w:val="both"/>
        <w:rPr>
          <w:b/>
        </w:rPr>
      </w:pPr>
    </w:p>
    <w:p w:rsidR="00C84EF5" w:rsidRDefault="00C84EF5" w:rsidP="00C84EF5">
      <w:pPr>
        <w:jc w:val="both"/>
      </w:pPr>
      <w:r>
        <w:t>Contact for further information:</w:t>
      </w:r>
    </w:p>
    <w:p w:rsidR="00C84EF5" w:rsidRDefault="00C84EF5" w:rsidP="00C84EF5">
      <w:pPr>
        <w:jc w:val="both"/>
      </w:pPr>
      <w:r>
        <w:t xml:space="preserve">Andy Wilkinson, 01772 533378, Office of the Chief Executive, </w:t>
      </w:r>
    </w:p>
    <w:p w:rsidR="00C84EF5" w:rsidRDefault="00832744" w:rsidP="00C84EF5">
      <w:pPr>
        <w:jc w:val="both"/>
      </w:pPr>
      <w:hyperlink r:id="rId5" w:history="1">
        <w:r w:rsidR="00C84EF5">
          <w:rPr>
            <w:rStyle w:val="Hyperlink"/>
          </w:rPr>
          <w:t>andy.wilkinson@lancashire.gov.uk</w:t>
        </w:r>
      </w:hyperlink>
    </w:p>
    <w:p w:rsidR="00C84EF5" w:rsidRDefault="00C84EF5" w:rsidP="00C84EF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C84EF5" w:rsidTr="00C84EF5">
        <w:tc>
          <w:tcPr>
            <w:tcW w:w="9180" w:type="dxa"/>
            <w:tcBorders>
              <w:top w:val="single" w:sz="4" w:space="0" w:color="auto"/>
              <w:left w:val="single" w:sz="4" w:space="0" w:color="auto"/>
              <w:bottom w:val="single" w:sz="4" w:space="0" w:color="auto"/>
              <w:right w:val="single" w:sz="4" w:space="0" w:color="auto"/>
            </w:tcBorders>
          </w:tcPr>
          <w:p w:rsidR="00C84EF5" w:rsidRDefault="00C84EF5">
            <w:pPr>
              <w:pStyle w:val="Header"/>
              <w:jc w:val="both"/>
            </w:pPr>
          </w:p>
          <w:p w:rsidR="00C84EF5" w:rsidRDefault="00C84EF5">
            <w:pPr>
              <w:pStyle w:val="Heading6"/>
              <w:jc w:val="both"/>
              <w:rPr>
                <w:rFonts w:ascii="Arial" w:hAnsi="Arial"/>
              </w:rPr>
            </w:pPr>
            <w:r>
              <w:rPr>
                <w:rFonts w:ascii="Arial" w:hAnsi="Arial"/>
              </w:rPr>
              <w:t>Executive Summary</w:t>
            </w:r>
          </w:p>
          <w:p w:rsidR="00C84EF5" w:rsidRDefault="00C84EF5">
            <w:pPr>
              <w:jc w:val="both"/>
            </w:pPr>
          </w:p>
          <w:p w:rsidR="00C84EF5" w:rsidRDefault="00C84EF5">
            <w:pPr>
              <w:jc w:val="both"/>
            </w:pPr>
            <w:r>
              <w:t xml:space="preserve">The adoption of a corporate policy for dealing with unreasonably persistent complaint/complainant behaviour. </w:t>
            </w:r>
          </w:p>
          <w:p w:rsidR="00C84EF5" w:rsidRDefault="00C84EF5">
            <w:pPr>
              <w:jc w:val="both"/>
            </w:pPr>
          </w:p>
          <w:p w:rsidR="00C84EF5" w:rsidRDefault="00C84EF5">
            <w:pPr>
              <w:pStyle w:val="Heading5"/>
              <w:jc w:val="both"/>
              <w:rPr>
                <w:rFonts w:ascii="Arial" w:hAnsi="Arial"/>
                <w:u w:val="none"/>
              </w:rPr>
            </w:pPr>
            <w:r>
              <w:rPr>
                <w:rFonts w:ascii="Arial" w:hAnsi="Arial"/>
                <w:u w:val="none"/>
              </w:rPr>
              <w:t>Recommendation</w:t>
            </w:r>
          </w:p>
          <w:p w:rsidR="00C84EF5" w:rsidRDefault="00C84EF5" w:rsidP="00C84EF5"/>
          <w:p w:rsidR="00916377" w:rsidRDefault="00916377" w:rsidP="00C84EF5">
            <w:r>
              <w:t>The Committee is asked to agree:</w:t>
            </w:r>
          </w:p>
          <w:p w:rsidR="00916377" w:rsidRPr="00C84EF5" w:rsidRDefault="00916377" w:rsidP="00C84EF5"/>
          <w:p w:rsidR="00C84EF5" w:rsidRDefault="00C84EF5" w:rsidP="00C84EF5">
            <w:pPr>
              <w:pStyle w:val="ListParagraph"/>
              <w:numPr>
                <w:ilvl w:val="0"/>
                <w:numId w:val="1"/>
              </w:numPr>
              <w:jc w:val="both"/>
            </w:pPr>
            <w:r>
              <w:t>That the Council adopt the policy set out at Appendix '</w:t>
            </w:r>
            <w:r w:rsidR="00916377">
              <w:t>A</w:t>
            </w:r>
            <w:r>
              <w:t>' to deal with unreasonable complaint behaviour, and</w:t>
            </w:r>
          </w:p>
          <w:p w:rsidR="00916377" w:rsidRDefault="00916377" w:rsidP="00916377">
            <w:pPr>
              <w:pStyle w:val="ListParagraph"/>
              <w:jc w:val="both"/>
            </w:pPr>
          </w:p>
          <w:p w:rsidR="00C84EF5" w:rsidRDefault="00C84EF5" w:rsidP="003A0B06">
            <w:pPr>
              <w:numPr>
                <w:ilvl w:val="0"/>
                <w:numId w:val="1"/>
              </w:numPr>
              <w:jc w:val="both"/>
            </w:pPr>
            <w:r>
              <w:t xml:space="preserve">Subject to the </w:t>
            </w:r>
            <w:r w:rsidR="00916377">
              <w:t>p</w:t>
            </w:r>
            <w:r>
              <w:t xml:space="preserve">olicy </w:t>
            </w:r>
            <w:r w:rsidR="00916377">
              <w:t xml:space="preserve">at 1. </w:t>
            </w:r>
            <w:proofErr w:type="gramStart"/>
            <w:r w:rsidR="00916377">
              <w:t>above</w:t>
            </w:r>
            <w:proofErr w:type="gramEnd"/>
            <w:r w:rsidR="00916377">
              <w:t xml:space="preserve"> </w:t>
            </w:r>
            <w:r>
              <w:t>being agreed, to also approve consequential changes to the Corporate Complaints Procedure, as set out at Appendix '</w:t>
            </w:r>
            <w:r w:rsidR="00916377">
              <w:t>B</w:t>
            </w:r>
            <w:r>
              <w:t xml:space="preserve">'. </w:t>
            </w:r>
          </w:p>
          <w:p w:rsidR="00C84EF5" w:rsidRDefault="00C84EF5">
            <w:pPr>
              <w:jc w:val="both"/>
            </w:pPr>
          </w:p>
        </w:tc>
      </w:tr>
    </w:tbl>
    <w:p w:rsidR="00C84EF5" w:rsidRDefault="00C84EF5" w:rsidP="00C84EF5">
      <w:pPr>
        <w:pStyle w:val="Header"/>
        <w:jc w:val="both"/>
      </w:pPr>
    </w:p>
    <w:p w:rsidR="00C84EF5" w:rsidRDefault="00C84EF5" w:rsidP="00C84EF5">
      <w:pPr>
        <w:jc w:val="both"/>
        <w:rPr>
          <w:b/>
        </w:rPr>
      </w:pPr>
      <w:r>
        <w:rPr>
          <w:b/>
        </w:rPr>
        <w:t xml:space="preserve">Background and Advice </w:t>
      </w:r>
    </w:p>
    <w:p w:rsidR="00C84EF5" w:rsidRDefault="00C84EF5" w:rsidP="00C84EF5">
      <w:pPr>
        <w:jc w:val="both"/>
        <w:rPr>
          <w:b/>
        </w:rPr>
      </w:pPr>
    </w:p>
    <w:p w:rsidR="00C84EF5" w:rsidRDefault="00C84EF5" w:rsidP="00C84EF5">
      <w:pPr>
        <w:jc w:val="both"/>
      </w:pPr>
      <w:r>
        <w:t>The Council has recently dealt with a longstanding complaint through the Local Government Ombudsman (LGO) in which the complainant had made a large number of complaints (over 100 in total) about a social care issue.  The Council had itself dealt with the core issues of the complaint through its own procedures and had eventually declared the complainant "vexatious".</w:t>
      </w:r>
    </w:p>
    <w:p w:rsidR="00C84EF5" w:rsidRDefault="00C84EF5" w:rsidP="00C84EF5">
      <w:pPr>
        <w:jc w:val="both"/>
      </w:pPr>
    </w:p>
    <w:p w:rsidR="00C84EF5" w:rsidRDefault="00C84EF5" w:rsidP="00C84EF5">
      <w:pPr>
        <w:jc w:val="both"/>
      </w:pPr>
      <w:r>
        <w:t xml:space="preserve">Although the LGO did not find the Council at fault for any of the core issues of the complaint, she did find that the way in which the Council had responded to the complainant was flawed in that it did not comply with her most recent published guidance on dealing with unreasonably persistent/vexatious complaints. </w:t>
      </w:r>
    </w:p>
    <w:p w:rsidR="00C84EF5" w:rsidRDefault="00C84EF5" w:rsidP="00C84EF5">
      <w:pPr>
        <w:jc w:val="both"/>
      </w:pPr>
    </w:p>
    <w:p w:rsidR="00C84EF5" w:rsidRDefault="00C84EF5" w:rsidP="00C84EF5">
      <w:pPr>
        <w:jc w:val="both"/>
      </w:pPr>
      <w:r>
        <w:t xml:space="preserve">The LGO suggested that it would be helpful for the Council to have a stand alone 'overarching' policy to deal with unreasonable complaint behaviour rather than rely on separate provision within its various complaints policies. </w:t>
      </w:r>
    </w:p>
    <w:p w:rsidR="00C84EF5" w:rsidRDefault="00C84EF5" w:rsidP="00C84EF5">
      <w:pPr>
        <w:jc w:val="both"/>
      </w:pPr>
    </w:p>
    <w:p w:rsidR="00C84EF5" w:rsidRDefault="00C84EF5" w:rsidP="00C84EF5">
      <w:pPr>
        <w:jc w:val="both"/>
      </w:pPr>
      <w:r>
        <w:t>Accordingly, the draft policy attached at Appendix '</w:t>
      </w:r>
      <w:r w:rsidR="00916377">
        <w:t>A</w:t>
      </w:r>
      <w:r>
        <w:t xml:space="preserve">', which complies with latest guidance issued by the LGO, is recommended for approval.  If the new policy is agreed, a number of consequential changes are required to the Council's Corporate </w:t>
      </w:r>
      <w:r>
        <w:lastRenderedPageBreak/>
        <w:t xml:space="preserve">Complaints Procedure to reflect the new provisions. A copy of the revised Procedure is attached at Appendix </w:t>
      </w:r>
      <w:r w:rsidR="00916377">
        <w:t>'B'</w:t>
      </w:r>
      <w:r>
        <w:t xml:space="preserve">. </w:t>
      </w:r>
    </w:p>
    <w:p w:rsidR="00916377" w:rsidRDefault="00916377" w:rsidP="00C84EF5">
      <w:pPr>
        <w:jc w:val="both"/>
      </w:pPr>
    </w:p>
    <w:p w:rsidR="00C84EF5" w:rsidRDefault="00C84EF5" w:rsidP="00C84EF5">
      <w:pPr>
        <w:pStyle w:val="Heading1"/>
        <w:jc w:val="both"/>
      </w:pPr>
      <w:r>
        <w:t>Consultations</w:t>
      </w:r>
    </w:p>
    <w:p w:rsidR="00C84EF5" w:rsidRDefault="00C84EF5" w:rsidP="00C84EF5">
      <w:pPr>
        <w:pStyle w:val="Header"/>
        <w:jc w:val="both"/>
      </w:pPr>
    </w:p>
    <w:p w:rsidR="00C84EF5" w:rsidRDefault="00C84EF5" w:rsidP="00C84EF5">
      <w:pPr>
        <w:jc w:val="both"/>
      </w:pPr>
      <w:r>
        <w:t xml:space="preserve">The Local Government Ombudsman has been consulted on the proposed policy and has confirmed that it is appropriate.  </w:t>
      </w:r>
    </w:p>
    <w:p w:rsidR="00C84EF5" w:rsidRDefault="00C84EF5" w:rsidP="00C84EF5">
      <w:pPr>
        <w:jc w:val="both"/>
      </w:pPr>
    </w:p>
    <w:p w:rsidR="00C84EF5" w:rsidRDefault="00C84EF5" w:rsidP="00C84EF5">
      <w:pPr>
        <w:jc w:val="both"/>
      </w:pPr>
      <w:r>
        <w:rPr>
          <w:b/>
        </w:rPr>
        <w:t>Implications</w:t>
      </w:r>
      <w:r>
        <w:t xml:space="preserve">: </w:t>
      </w:r>
    </w:p>
    <w:p w:rsidR="00C84EF5" w:rsidRDefault="00C84EF5" w:rsidP="00C84EF5">
      <w:pPr>
        <w:jc w:val="both"/>
      </w:pPr>
    </w:p>
    <w:p w:rsidR="00C84EF5" w:rsidRDefault="00C84EF5" w:rsidP="00C84EF5">
      <w:pPr>
        <w:jc w:val="both"/>
      </w:pPr>
      <w:r>
        <w:t>This item has the following implications, as indicated:</w:t>
      </w:r>
    </w:p>
    <w:p w:rsidR="00C84EF5" w:rsidRDefault="00C84EF5" w:rsidP="00C84EF5">
      <w:pPr>
        <w:jc w:val="both"/>
        <w:rPr>
          <w:b/>
        </w:rPr>
      </w:pPr>
    </w:p>
    <w:p w:rsidR="00C84EF5" w:rsidRDefault="00C84EF5" w:rsidP="00C84EF5">
      <w:pPr>
        <w:jc w:val="both"/>
        <w:rPr>
          <w:b/>
        </w:rPr>
      </w:pPr>
      <w:r>
        <w:rPr>
          <w:b/>
        </w:rPr>
        <w:t>Risk management</w:t>
      </w:r>
    </w:p>
    <w:p w:rsidR="00C84EF5" w:rsidRDefault="00C84EF5" w:rsidP="00C84EF5">
      <w:pPr>
        <w:jc w:val="both"/>
      </w:pPr>
    </w:p>
    <w:p w:rsidR="00C84EF5" w:rsidRDefault="00C84EF5" w:rsidP="00C84EF5">
      <w:pPr>
        <w:jc w:val="both"/>
      </w:pPr>
      <w:r>
        <w:t xml:space="preserve">Failure to accept the LGO's suggestion may lead to further criticism should the Council again have to invoke existing procedures to deal with unreasonable complainants. </w:t>
      </w:r>
    </w:p>
    <w:p w:rsidR="00C84EF5" w:rsidRDefault="00C84EF5" w:rsidP="00C84EF5">
      <w:pPr>
        <w:jc w:val="both"/>
      </w:pPr>
    </w:p>
    <w:p w:rsidR="00C84EF5" w:rsidRDefault="00C84EF5" w:rsidP="00C84EF5">
      <w:pPr>
        <w:pStyle w:val="Heading5"/>
        <w:jc w:val="both"/>
        <w:rPr>
          <w:rFonts w:ascii="Arial" w:hAnsi="Arial"/>
          <w:u w:val="none"/>
        </w:rPr>
      </w:pPr>
      <w:r>
        <w:rPr>
          <w:rFonts w:ascii="Arial" w:hAnsi="Arial"/>
          <w:u w:val="none"/>
        </w:rPr>
        <w:t>Local Government (Access to Information) Act 1985</w:t>
      </w:r>
    </w:p>
    <w:p w:rsidR="00C84EF5" w:rsidRDefault="00C84EF5" w:rsidP="00C84EF5">
      <w:pPr>
        <w:pStyle w:val="Heading5"/>
        <w:jc w:val="both"/>
        <w:rPr>
          <w:rFonts w:ascii="Arial" w:hAnsi="Arial"/>
          <w:u w:val="none"/>
        </w:rPr>
      </w:pPr>
      <w:r>
        <w:rPr>
          <w:rFonts w:ascii="Arial" w:hAnsi="Arial"/>
          <w:u w:val="none"/>
        </w:rPr>
        <w:t>List of Background Papers</w:t>
      </w:r>
    </w:p>
    <w:p w:rsidR="00C84EF5" w:rsidRDefault="00C84EF5" w:rsidP="00C84EF5">
      <w:pPr>
        <w:jc w:val="both"/>
      </w:pPr>
    </w:p>
    <w:tbl>
      <w:tblPr>
        <w:tblW w:w="0" w:type="auto"/>
        <w:tblLayout w:type="fixed"/>
        <w:tblLook w:val="000C"/>
      </w:tblPr>
      <w:tblGrid>
        <w:gridCol w:w="3227"/>
        <w:gridCol w:w="2775"/>
        <w:gridCol w:w="3178"/>
      </w:tblGrid>
      <w:tr w:rsidR="00C84EF5" w:rsidTr="00C84EF5">
        <w:tc>
          <w:tcPr>
            <w:tcW w:w="3227" w:type="dxa"/>
            <w:hideMark/>
          </w:tcPr>
          <w:p w:rsidR="00C84EF5" w:rsidRDefault="00C84EF5">
            <w:pPr>
              <w:pStyle w:val="Heading7"/>
              <w:jc w:val="both"/>
              <w:rPr>
                <w:rFonts w:ascii="Arial" w:hAnsi="Arial"/>
                <w:u w:val="none"/>
              </w:rPr>
            </w:pPr>
            <w:r>
              <w:rPr>
                <w:rFonts w:ascii="Arial" w:hAnsi="Arial"/>
                <w:u w:val="none"/>
              </w:rPr>
              <w:t>Paper</w:t>
            </w:r>
          </w:p>
        </w:tc>
        <w:tc>
          <w:tcPr>
            <w:tcW w:w="2775" w:type="dxa"/>
            <w:hideMark/>
          </w:tcPr>
          <w:p w:rsidR="00C84EF5" w:rsidRDefault="00C84EF5">
            <w:pPr>
              <w:pStyle w:val="Heading7"/>
              <w:jc w:val="both"/>
              <w:rPr>
                <w:rFonts w:ascii="Arial" w:hAnsi="Arial"/>
                <w:u w:val="none"/>
              </w:rPr>
            </w:pPr>
            <w:r>
              <w:rPr>
                <w:rFonts w:ascii="Arial" w:hAnsi="Arial"/>
                <w:u w:val="none"/>
              </w:rPr>
              <w:t>Date</w:t>
            </w:r>
          </w:p>
        </w:tc>
        <w:tc>
          <w:tcPr>
            <w:tcW w:w="3178" w:type="dxa"/>
            <w:hideMark/>
          </w:tcPr>
          <w:p w:rsidR="00C84EF5" w:rsidRDefault="00C84EF5">
            <w:pPr>
              <w:pStyle w:val="Heading7"/>
              <w:jc w:val="both"/>
              <w:rPr>
                <w:rFonts w:ascii="Arial" w:hAnsi="Arial"/>
                <w:u w:val="none"/>
              </w:rPr>
            </w:pPr>
            <w:r>
              <w:rPr>
                <w:rFonts w:ascii="Arial" w:hAnsi="Arial"/>
                <w:u w:val="none"/>
              </w:rPr>
              <w:t>Contact/Directorate/Tel</w:t>
            </w:r>
          </w:p>
        </w:tc>
      </w:tr>
      <w:tr w:rsidR="00C84EF5" w:rsidTr="00C84EF5">
        <w:tc>
          <w:tcPr>
            <w:tcW w:w="3227" w:type="dxa"/>
          </w:tcPr>
          <w:p w:rsidR="00C84EF5" w:rsidRDefault="00C84EF5">
            <w:pPr>
              <w:pStyle w:val="Heading7"/>
              <w:jc w:val="both"/>
              <w:rPr>
                <w:rFonts w:ascii="Arial" w:hAnsi="Arial"/>
                <w:u w:val="none"/>
              </w:rPr>
            </w:pPr>
          </w:p>
          <w:p w:rsidR="00C84EF5" w:rsidRDefault="00C84EF5">
            <w:pPr>
              <w:jc w:val="both"/>
            </w:pPr>
            <w:r>
              <w:t>Nil</w:t>
            </w:r>
          </w:p>
        </w:tc>
        <w:tc>
          <w:tcPr>
            <w:tcW w:w="2775" w:type="dxa"/>
          </w:tcPr>
          <w:p w:rsidR="00C84EF5" w:rsidRDefault="00C84EF5">
            <w:pPr>
              <w:pStyle w:val="Heading7"/>
              <w:jc w:val="both"/>
              <w:rPr>
                <w:rFonts w:ascii="Arial" w:hAnsi="Arial"/>
                <w:u w:val="none"/>
              </w:rPr>
            </w:pPr>
          </w:p>
          <w:p w:rsidR="00C84EF5" w:rsidRDefault="00C84EF5">
            <w:pPr>
              <w:jc w:val="both"/>
            </w:pPr>
          </w:p>
        </w:tc>
        <w:tc>
          <w:tcPr>
            <w:tcW w:w="3178" w:type="dxa"/>
          </w:tcPr>
          <w:p w:rsidR="00C84EF5" w:rsidRDefault="00C84EF5">
            <w:pPr>
              <w:jc w:val="both"/>
            </w:pPr>
          </w:p>
          <w:p w:rsidR="00916377" w:rsidRDefault="00916377">
            <w:pPr>
              <w:jc w:val="both"/>
            </w:pPr>
          </w:p>
        </w:tc>
      </w:tr>
      <w:tr w:rsidR="00C84EF5" w:rsidTr="00C84EF5">
        <w:tc>
          <w:tcPr>
            <w:tcW w:w="9180" w:type="dxa"/>
            <w:gridSpan w:val="3"/>
          </w:tcPr>
          <w:p w:rsidR="00916377" w:rsidRDefault="00916377">
            <w:pPr>
              <w:jc w:val="both"/>
            </w:pPr>
          </w:p>
          <w:p w:rsidR="00C84EF5" w:rsidRDefault="00C84EF5">
            <w:pPr>
              <w:jc w:val="both"/>
            </w:pPr>
            <w:r>
              <w:t>Reason for inclusion in Part II, if appropriate</w:t>
            </w:r>
          </w:p>
          <w:p w:rsidR="00C84EF5" w:rsidRDefault="00C84EF5">
            <w:pPr>
              <w:jc w:val="both"/>
            </w:pPr>
          </w:p>
          <w:p w:rsidR="00C84EF5" w:rsidRDefault="00916377">
            <w:pPr>
              <w:jc w:val="both"/>
            </w:pPr>
            <w:r>
              <w:t>N/A</w:t>
            </w:r>
          </w:p>
          <w:p w:rsidR="00C84EF5" w:rsidRDefault="00C84EF5">
            <w:pPr>
              <w:jc w:val="both"/>
            </w:pPr>
          </w:p>
        </w:tc>
      </w:tr>
    </w:tbl>
    <w:p w:rsidR="00C84EF5" w:rsidRDefault="00C84EF5" w:rsidP="00C84EF5">
      <w:pPr>
        <w:jc w:val="both"/>
      </w:pPr>
    </w:p>
    <w:p w:rsidR="00E019DA" w:rsidRDefault="00E019DA"/>
    <w:sectPr w:rsidR="00E019DA" w:rsidSect="00E019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73741"/>
    <w:multiLevelType w:val="hybridMultilevel"/>
    <w:tmpl w:val="E9AC151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4EF5"/>
    <w:rsid w:val="002612C4"/>
    <w:rsid w:val="00407D65"/>
    <w:rsid w:val="00434029"/>
    <w:rsid w:val="004E3968"/>
    <w:rsid w:val="006604FF"/>
    <w:rsid w:val="00832744"/>
    <w:rsid w:val="008A20D4"/>
    <w:rsid w:val="008C4E38"/>
    <w:rsid w:val="00916377"/>
    <w:rsid w:val="009F2B62"/>
    <w:rsid w:val="00C664C1"/>
    <w:rsid w:val="00C84EF5"/>
    <w:rsid w:val="00E019DA"/>
    <w:rsid w:val="00EE6969"/>
    <w:rsid w:val="00F02E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F5"/>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C84EF5"/>
    <w:pPr>
      <w:keepNext/>
      <w:outlineLvl w:val="0"/>
    </w:pPr>
    <w:rPr>
      <w:b/>
    </w:rPr>
  </w:style>
  <w:style w:type="paragraph" w:styleId="Heading5">
    <w:name w:val="heading 5"/>
    <w:basedOn w:val="Normal"/>
    <w:next w:val="Normal"/>
    <w:link w:val="Heading5Char"/>
    <w:semiHidden/>
    <w:unhideWhenUsed/>
    <w:qFormat/>
    <w:rsid w:val="00C84EF5"/>
    <w:pPr>
      <w:keepNext/>
      <w:outlineLvl w:val="4"/>
    </w:pPr>
    <w:rPr>
      <w:rFonts w:ascii="Univers" w:hAnsi="Univers"/>
      <w:b/>
      <w:u w:val="single"/>
    </w:rPr>
  </w:style>
  <w:style w:type="paragraph" w:styleId="Heading6">
    <w:name w:val="heading 6"/>
    <w:basedOn w:val="Normal"/>
    <w:next w:val="Normal"/>
    <w:link w:val="Heading6Char"/>
    <w:semiHidden/>
    <w:unhideWhenUsed/>
    <w:qFormat/>
    <w:rsid w:val="00C84EF5"/>
    <w:pPr>
      <w:keepNext/>
      <w:outlineLvl w:val="5"/>
    </w:pPr>
    <w:rPr>
      <w:rFonts w:ascii="Univers" w:hAnsi="Univers"/>
      <w:b/>
    </w:rPr>
  </w:style>
  <w:style w:type="paragraph" w:styleId="Heading7">
    <w:name w:val="heading 7"/>
    <w:basedOn w:val="Normal"/>
    <w:next w:val="Normal"/>
    <w:link w:val="Heading7Char"/>
    <w:unhideWhenUsed/>
    <w:qFormat/>
    <w:rsid w:val="00C84EF5"/>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4EF5"/>
    <w:rPr>
      <w:rFonts w:ascii="Arial" w:eastAsia="Times New Roman" w:hAnsi="Arial" w:cs="Times New Roman"/>
      <w:b/>
      <w:sz w:val="24"/>
      <w:szCs w:val="20"/>
      <w:lang w:eastAsia="en-GB"/>
    </w:rPr>
  </w:style>
  <w:style w:type="character" w:customStyle="1" w:styleId="Heading5Char">
    <w:name w:val="Heading 5 Char"/>
    <w:basedOn w:val="DefaultParagraphFont"/>
    <w:link w:val="Heading5"/>
    <w:semiHidden/>
    <w:rsid w:val="00C84EF5"/>
    <w:rPr>
      <w:rFonts w:ascii="Univers" w:eastAsia="Times New Roman" w:hAnsi="Univers" w:cs="Times New Roman"/>
      <w:b/>
      <w:sz w:val="24"/>
      <w:szCs w:val="20"/>
      <w:u w:val="single"/>
      <w:lang w:eastAsia="en-GB"/>
    </w:rPr>
  </w:style>
  <w:style w:type="character" w:customStyle="1" w:styleId="Heading6Char">
    <w:name w:val="Heading 6 Char"/>
    <w:basedOn w:val="DefaultParagraphFont"/>
    <w:link w:val="Heading6"/>
    <w:semiHidden/>
    <w:rsid w:val="00C84EF5"/>
    <w:rPr>
      <w:rFonts w:ascii="Univers" w:eastAsia="Times New Roman" w:hAnsi="Univers" w:cs="Times New Roman"/>
      <w:b/>
      <w:sz w:val="24"/>
      <w:szCs w:val="20"/>
      <w:lang w:eastAsia="en-GB"/>
    </w:rPr>
  </w:style>
  <w:style w:type="character" w:customStyle="1" w:styleId="Heading7Char">
    <w:name w:val="Heading 7 Char"/>
    <w:basedOn w:val="DefaultParagraphFont"/>
    <w:link w:val="Heading7"/>
    <w:rsid w:val="00C84EF5"/>
    <w:rPr>
      <w:rFonts w:ascii="Univers" w:eastAsia="Times New Roman" w:hAnsi="Univers" w:cs="Times New Roman"/>
      <w:sz w:val="24"/>
      <w:szCs w:val="20"/>
      <w:u w:val="single"/>
      <w:lang w:eastAsia="en-GB"/>
    </w:rPr>
  </w:style>
  <w:style w:type="character" w:styleId="Hyperlink">
    <w:name w:val="Hyperlink"/>
    <w:basedOn w:val="DefaultParagraphFont"/>
    <w:uiPriority w:val="99"/>
    <w:semiHidden/>
    <w:unhideWhenUsed/>
    <w:rsid w:val="00C84EF5"/>
    <w:rPr>
      <w:color w:val="0000FF"/>
      <w:u w:val="single"/>
    </w:rPr>
  </w:style>
  <w:style w:type="paragraph" w:styleId="Header">
    <w:name w:val="header"/>
    <w:basedOn w:val="Normal"/>
    <w:link w:val="HeaderChar"/>
    <w:semiHidden/>
    <w:unhideWhenUsed/>
    <w:rsid w:val="00C84EF5"/>
  </w:style>
  <w:style w:type="character" w:customStyle="1" w:styleId="HeaderChar">
    <w:name w:val="Header Char"/>
    <w:basedOn w:val="DefaultParagraphFont"/>
    <w:link w:val="Header"/>
    <w:semiHidden/>
    <w:rsid w:val="00C84EF5"/>
    <w:rPr>
      <w:rFonts w:ascii="Arial" w:eastAsia="Times New Roman" w:hAnsi="Arial" w:cs="Times New Roman"/>
      <w:sz w:val="24"/>
      <w:szCs w:val="20"/>
      <w:lang w:eastAsia="en-GB"/>
    </w:rPr>
  </w:style>
  <w:style w:type="paragraph" w:styleId="BodyText">
    <w:name w:val="Body Text"/>
    <w:basedOn w:val="Normal"/>
    <w:link w:val="BodyTextChar"/>
    <w:semiHidden/>
    <w:unhideWhenUsed/>
    <w:rsid w:val="00C84EF5"/>
  </w:style>
  <w:style w:type="character" w:customStyle="1" w:styleId="BodyTextChar">
    <w:name w:val="Body Text Char"/>
    <w:basedOn w:val="DefaultParagraphFont"/>
    <w:link w:val="BodyText"/>
    <w:semiHidden/>
    <w:rsid w:val="00C84EF5"/>
    <w:rPr>
      <w:rFonts w:ascii="Arial" w:eastAsia="Times New Roman" w:hAnsi="Arial" w:cs="Times New Roman"/>
      <w:sz w:val="24"/>
      <w:szCs w:val="20"/>
      <w:lang w:eastAsia="en-GB"/>
    </w:rPr>
  </w:style>
  <w:style w:type="paragraph" w:styleId="ListParagraph">
    <w:name w:val="List Paragraph"/>
    <w:basedOn w:val="Normal"/>
    <w:uiPriority w:val="34"/>
    <w:qFormat/>
    <w:rsid w:val="00C84EF5"/>
    <w:pPr>
      <w:ind w:left="720"/>
      <w:contextualSpacing/>
    </w:pPr>
  </w:style>
</w:styles>
</file>

<file path=word/webSettings.xml><?xml version="1.0" encoding="utf-8"?>
<w:webSettings xmlns:r="http://schemas.openxmlformats.org/officeDocument/2006/relationships" xmlns:w="http://schemas.openxmlformats.org/wordprocessingml/2006/main">
  <w:divs>
    <w:div w:id="90649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y.wilkinson@lanca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401</Words>
  <Characters>2287</Characters>
  <Application>Microsoft Office Word</Application>
  <DocSecurity>0</DocSecurity>
  <Lines>19</Lines>
  <Paragraphs>5</Paragraphs>
  <ScaleCrop>false</ScaleCrop>
  <Company>Lancashire County Council</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awilkinson002</dc:creator>
  <cp:keywords/>
  <dc:description/>
  <cp:lastModifiedBy>User</cp:lastModifiedBy>
  <cp:revision>3</cp:revision>
  <dcterms:created xsi:type="dcterms:W3CDTF">2012-01-03T10:32:00Z</dcterms:created>
  <dcterms:modified xsi:type="dcterms:W3CDTF">2012-01-09T13:33:00Z</dcterms:modified>
</cp:coreProperties>
</file>